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4D" w:rsidRDefault="004B6859" w:rsidP="004B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859">
        <w:rPr>
          <w:rFonts w:ascii="Times New Roman" w:hAnsi="Times New Roman" w:cs="Times New Roman"/>
          <w:b/>
          <w:sz w:val="32"/>
          <w:szCs w:val="32"/>
        </w:rPr>
        <w:t>ПОДПРОГРАММА 4</w:t>
      </w:r>
    </w:p>
    <w:p w:rsidR="004B6859" w:rsidRDefault="004B6859" w:rsidP="004B6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9">
        <w:rPr>
          <w:rFonts w:ascii="Times New Roman" w:hAnsi="Times New Roman" w:cs="Times New Roman"/>
          <w:b/>
          <w:sz w:val="28"/>
          <w:szCs w:val="28"/>
        </w:rPr>
        <w:t>Профилактика нарушений обязательных требований в рамках осуществления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4B6859" w:rsidRDefault="004B6859" w:rsidP="004B68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6859">
        <w:rPr>
          <w:rFonts w:ascii="Times New Roman" w:hAnsi="Times New Roman" w:cs="Times New Roman"/>
          <w:b/>
          <w:sz w:val="24"/>
          <w:szCs w:val="28"/>
        </w:rPr>
        <w:t xml:space="preserve">Краткий анализ текущего состояния поднадзорной среды (по состоянию на </w:t>
      </w:r>
      <w:r w:rsidR="0046167D">
        <w:rPr>
          <w:rFonts w:ascii="Times New Roman" w:hAnsi="Times New Roman" w:cs="Times New Roman"/>
          <w:b/>
          <w:sz w:val="24"/>
          <w:szCs w:val="28"/>
        </w:rPr>
        <w:t>31</w:t>
      </w:r>
      <w:r w:rsidRPr="004B6859">
        <w:rPr>
          <w:rFonts w:ascii="Times New Roman" w:hAnsi="Times New Roman" w:cs="Times New Roman"/>
          <w:b/>
          <w:sz w:val="24"/>
          <w:szCs w:val="28"/>
        </w:rPr>
        <w:t>.</w:t>
      </w:r>
      <w:r w:rsidR="0046167D">
        <w:rPr>
          <w:rFonts w:ascii="Times New Roman" w:hAnsi="Times New Roman" w:cs="Times New Roman"/>
          <w:b/>
          <w:sz w:val="24"/>
          <w:szCs w:val="28"/>
        </w:rPr>
        <w:t>12</w:t>
      </w:r>
      <w:r w:rsidRPr="004B6859">
        <w:rPr>
          <w:rFonts w:ascii="Times New Roman" w:hAnsi="Times New Roman" w:cs="Times New Roman"/>
          <w:b/>
          <w:sz w:val="24"/>
          <w:szCs w:val="28"/>
        </w:rPr>
        <w:t>.20</w:t>
      </w:r>
      <w:r w:rsidR="00833994">
        <w:rPr>
          <w:rFonts w:ascii="Times New Roman" w:hAnsi="Times New Roman" w:cs="Times New Roman"/>
          <w:b/>
          <w:sz w:val="24"/>
          <w:szCs w:val="28"/>
        </w:rPr>
        <w:t>2</w:t>
      </w:r>
      <w:r w:rsidR="009B1BE1">
        <w:rPr>
          <w:rFonts w:ascii="Times New Roman" w:hAnsi="Times New Roman" w:cs="Times New Roman"/>
          <w:b/>
          <w:sz w:val="24"/>
          <w:szCs w:val="28"/>
        </w:rPr>
        <w:t>1</w:t>
      </w:r>
      <w:r w:rsidRPr="004B6859">
        <w:rPr>
          <w:rFonts w:ascii="Times New Roman" w:hAnsi="Times New Roman" w:cs="Times New Roman"/>
          <w:b/>
          <w:sz w:val="24"/>
          <w:szCs w:val="28"/>
        </w:rPr>
        <w:t xml:space="preserve"> г.)</w:t>
      </w:r>
    </w:p>
    <w:p w:rsidR="00372B27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6859" w:rsidRDefault="004B6859" w:rsidP="009B1B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государственном реестре саморегулируемых организаций содержаться сведения о </w:t>
      </w:r>
      <w:r w:rsidR="009B1BE1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 xml:space="preserve"> саморегулируемых организациях</w:t>
      </w:r>
      <w:r w:rsidR="0002273E">
        <w:rPr>
          <w:rFonts w:ascii="Times New Roman" w:hAnsi="Times New Roman" w:cs="Times New Roman"/>
          <w:sz w:val="24"/>
          <w:szCs w:val="28"/>
        </w:rPr>
        <w:t xml:space="preserve"> осуществляющих свою деятельность на территории Северо-Кавказского Федерального округа</w:t>
      </w:r>
      <w:r>
        <w:rPr>
          <w:rFonts w:ascii="Times New Roman" w:hAnsi="Times New Roman" w:cs="Times New Roman"/>
          <w:sz w:val="24"/>
          <w:szCs w:val="28"/>
        </w:rPr>
        <w:t>, в том числе:</w:t>
      </w:r>
    </w:p>
    <w:p w:rsidR="004B6859" w:rsidRDefault="004B6859" w:rsidP="009B1B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саморегулируемые организации, основанные на членстве лиц, выполняющих инженерные изыскания – </w:t>
      </w:r>
      <w:r w:rsidR="0002273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B6859" w:rsidRDefault="004B6859" w:rsidP="009B1B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саморегулируемые организации, основанные на членстве лиц, осуществляющих подготовку проектной документации – </w:t>
      </w:r>
      <w:r w:rsidR="0002273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9B1BE1" w:rsidRDefault="004B6859" w:rsidP="009B1B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саморегулируемые организации, основанные на членстве лиц, осуществляющих строительство – </w:t>
      </w:r>
      <w:r w:rsidR="0002273E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B1BE1" w:rsidRPr="009B1BE1" w:rsidRDefault="009B1BE1" w:rsidP="009B1BE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B6859" w:rsidRDefault="004B6859" w:rsidP="004B68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Описание ключевых наиболее значимых рисков</w:t>
      </w:r>
    </w:p>
    <w:p w:rsidR="00372B27" w:rsidRPr="004B6859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6F12" w:rsidRDefault="00746F12" w:rsidP="004B6859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Несоблюдение саморегулируемой организацией установленных требований к членству может привести к допуску на рынок юридических лиц и индивидуальных предпринимателей, не соответствующих установленным законодательством требованиям, что повышает вероятность некачественного выполнения работ по инженерным изысканиям, архитектурно-строительному проектированию, строительству, реконструкции и капитальному ремонту объектов капитального строительства, а также неисполнение или ненадлежащее исполнение членом саморегулируемой организации договорных обязательств.</w:t>
      </w:r>
    </w:p>
    <w:p w:rsidR="004F6DBA" w:rsidRDefault="00746F12" w:rsidP="004B6859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</w:rPr>
        <w:t>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 может привести к невозможности возмещения вреда (причиненного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</w:t>
      </w:r>
      <w:r w:rsidR="004F6DBA">
        <w:rPr>
          <w:rFonts w:ascii="Times New Roman" w:hAnsi="Times New Roman" w:cs="Times New Roman"/>
          <w:sz w:val="24"/>
          <w:szCs w:val="28"/>
        </w:rPr>
        <w:t>, требований к обеспечению безопасной эксплуатации здания, сооружения</w:t>
      </w:r>
      <w:r>
        <w:rPr>
          <w:rFonts w:ascii="Times New Roman" w:hAnsi="Times New Roman" w:cs="Times New Roman"/>
          <w:sz w:val="24"/>
          <w:szCs w:val="28"/>
        </w:rPr>
        <w:t>)</w:t>
      </w:r>
      <w:r w:rsidR="004F6DBA">
        <w:rPr>
          <w:rFonts w:ascii="Times New Roman" w:hAnsi="Times New Roman" w:cs="Times New Roman"/>
          <w:sz w:val="24"/>
          <w:szCs w:val="28"/>
        </w:rPr>
        <w:t xml:space="preserve"> или невозможности возмещения</w:t>
      </w:r>
      <w:proofErr w:type="gramEnd"/>
      <w:r w:rsidR="004F6DBA">
        <w:rPr>
          <w:rFonts w:ascii="Times New Roman" w:hAnsi="Times New Roman" w:cs="Times New Roman"/>
          <w:sz w:val="24"/>
          <w:szCs w:val="28"/>
        </w:rPr>
        <w:t xml:space="preserve"> ущерба (причиненного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подряда).</w:t>
      </w:r>
    </w:p>
    <w:p w:rsidR="00372B27" w:rsidRDefault="00372B27" w:rsidP="004B6859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02273E" w:rsidRDefault="0002273E" w:rsidP="004B6859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4B6859" w:rsidRDefault="004F6DBA" w:rsidP="004F6D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Текущие и ожидаемые тенденции, которые могут оказать воздействие на состояние поднадзорной среды</w:t>
      </w:r>
    </w:p>
    <w:p w:rsidR="00372B27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6DBA" w:rsidRDefault="004F6DBA" w:rsidP="004F6DBA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качестве текущих и ожидаемых тенденций можно отменить приведение деятельности саморегулируемых организаций в соответствие с законодательством о градостроительной деятельности и о саморегулируемых организациях путем проведения ко</w:t>
      </w:r>
      <w:r w:rsidR="0002273E">
        <w:rPr>
          <w:rFonts w:ascii="Times New Roman" w:hAnsi="Times New Roman" w:cs="Times New Roman"/>
          <w:sz w:val="24"/>
          <w:szCs w:val="28"/>
        </w:rPr>
        <w:t>нтрольно-надзорных мероприятий</w:t>
      </w:r>
      <w:r>
        <w:rPr>
          <w:rFonts w:ascii="Times New Roman" w:hAnsi="Times New Roman" w:cs="Times New Roman"/>
          <w:sz w:val="24"/>
          <w:szCs w:val="28"/>
        </w:rPr>
        <w:t>, направлением разъяснительных писем.</w:t>
      </w:r>
    </w:p>
    <w:p w:rsidR="00372B27" w:rsidRDefault="00372B27" w:rsidP="004F6DBA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4F6DBA" w:rsidRDefault="004F6DBA" w:rsidP="004F6D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Текущий уровень развития профилактических мероприятий</w:t>
      </w:r>
    </w:p>
    <w:p w:rsidR="00372B27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6DBA" w:rsidRDefault="004F6DBA" w:rsidP="004F6DBA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целях</w:t>
      </w:r>
      <w:r w:rsidR="001C0D8F">
        <w:rPr>
          <w:rFonts w:ascii="Times New Roman" w:hAnsi="Times New Roman" w:cs="Times New Roman"/>
          <w:sz w:val="24"/>
          <w:szCs w:val="28"/>
        </w:rPr>
        <w:t xml:space="preserve"> недопущения и профилактики нарушений обязательных требований при осуществлении надзора за саморегулируемыми организациями на постоянной основе ведется разъяснительная работа</w:t>
      </w:r>
      <w:r w:rsidR="0002273E">
        <w:rPr>
          <w:rFonts w:ascii="Times New Roman" w:hAnsi="Times New Roman" w:cs="Times New Roman"/>
          <w:sz w:val="24"/>
          <w:szCs w:val="28"/>
        </w:rPr>
        <w:t xml:space="preserve"> с инспекторским составом</w:t>
      </w:r>
      <w:r w:rsidR="001C0D8F">
        <w:rPr>
          <w:rFonts w:ascii="Times New Roman" w:hAnsi="Times New Roman" w:cs="Times New Roman"/>
          <w:sz w:val="24"/>
          <w:szCs w:val="28"/>
        </w:rPr>
        <w:t xml:space="preserve"> и оказывается методологическая помощь </w:t>
      </w:r>
      <w:r w:rsidR="0002273E">
        <w:rPr>
          <w:rFonts w:ascii="Times New Roman" w:hAnsi="Times New Roman" w:cs="Times New Roman"/>
          <w:sz w:val="24"/>
          <w:szCs w:val="28"/>
        </w:rPr>
        <w:t>отделам государственного строительного надзора и по надзору за грузоподъемными механизмами Кавказского управления Ростехнадзора</w:t>
      </w:r>
      <w:r w:rsidR="001C0D8F">
        <w:rPr>
          <w:rFonts w:ascii="Times New Roman" w:hAnsi="Times New Roman" w:cs="Times New Roman"/>
          <w:sz w:val="24"/>
          <w:szCs w:val="28"/>
        </w:rPr>
        <w:t xml:space="preserve">. За разъяснениями требований законодательства о градостроительной деятельности и о саморегулируемых организациях в </w:t>
      </w:r>
      <w:proofErr w:type="spellStart"/>
      <w:r w:rsidR="001C0D8F">
        <w:rPr>
          <w:rFonts w:ascii="Times New Roman" w:hAnsi="Times New Roman" w:cs="Times New Roman"/>
          <w:sz w:val="24"/>
          <w:szCs w:val="28"/>
        </w:rPr>
        <w:t>Ростехнадзор</w:t>
      </w:r>
      <w:proofErr w:type="spellEnd"/>
      <w:r w:rsidR="001C0D8F">
        <w:rPr>
          <w:rFonts w:ascii="Times New Roman" w:hAnsi="Times New Roman" w:cs="Times New Roman"/>
          <w:sz w:val="24"/>
          <w:szCs w:val="28"/>
        </w:rPr>
        <w:t xml:space="preserve"> обращаются граждане, которым даются разъяснения по вопросам в сфере саморегулирования. Один раз в полугодие готовятся обзоры правоприменительной практики.</w:t>
      </w:r>
    </w:p>
    <w:p w:rsidR="00372B27" w:rsidRDefault="00372B27" w:rsidP="004F6DBA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1C0D8F" w:rsidRDefault="001C0D8F" w:rsidP="001C0D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Отчетные показатели за </w:t>
      </w:r>
      <w:r w:rsidR="006227F7">
        <w:rPr>
          <w:rFonts w:ascii="Times New Roman" w:hAnsi="Times New Roman" w:cs="Times New Roman"/>
          <w:b/>
          <w:sz w:val="24"/>
          <w:szCs w:val="28"/>
        </w:rPr>
        <w:t>3 месяца 2022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6227F7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4"/>
          <w:szCs w:val="28"/>
        </w:rPr>
        <w:t xml:space="preserve"> и проект отчетных показателей </w:t>
      </w:r>
      <w:r w:rsidR="00372B27"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b/>
          <w:sz w:val="24"/>
          <w:szCs w:val="28"/>
        </w:rPr>
        <w:t>на 202</w:t>
      </w:r>
      <w:r w:rsidR="006227F7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-202</w:t>
      </w:r>
      <w:r w:rsidR="006227F7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p w:rsidR="00372B27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2311"/>
        <w:gridCol w:w="1914"/>
        <w:gridCol w:w="1914"/>
        <w:gridCol w:w="1914"/>
        <w:gridCol w:w="1915"/>
      </w:tblGrid>
      <w:tr w:rsidR="001C0D8F" w:rsidTr="001C0D8F">
        <w:tc>
          <w:tcPr>
            <w:tcW w:w="2311" w:type="dxa"/>
            <w:vMerge w:val="restart"/>
          </w:tcPr>
          <w:p w:rsidR="001C0D8F" w:rsidRPr="001C0D8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C0D8F">
              <w:rPr>
                <w:rFonts w:ascii="Times New Roman" w:hAnsi="Times New Roman" w:cs="Times New Roman"/>
                <w:b/>
                <w:sz w:val="32"/>
                <w:szCs w:val="28"/>
              </w:rPr>
              <w:t>Показатель</w:t>
            </w:r>
          </w:p>
        </w:tc>
        <w:tc>
          <w:tcPr>
            <w:tcW w:w="7657" w:type="dxa"/>
            <w:gridSpan w:val="4"/>
          </w:tcPr>
          <w:p w:rsidR="001C0D8F" w:rsidRPr="001C0D8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D8F">
              <w:rPr>
                <w:rFonts w:ascii="Times New Roman" w:hAnsi="Times New Roman" w:cs="Times New Roman"/>
                <w:b/>
                <w:sz w:val="32"/>
                <w:szCs w:val="28"/>
              </w:rPr>
              <w:t>Период, год</w:t>
            </w:r>
          </w:p>
        </w:tc>
      </w:tr>
      <w:tr w:rsidR="001C0D8F" w:rsidTr="00F122E5">
        <w:tc>
          <w:tcPr>
            <w:tcW w:w="2311" w:type="dxa"/>
            <w:vMerge/>
          </w:tcPr>
          <w:p w:rsidR="001C0D8F" w:rsidRPr="001C0D8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1C0D8F" w:rsidRPr="001C0D8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914" w:type="dxa"/>
          </w:tcPr>
          <w:p w:rsidR="001C0D8F" w:rsidRPr="001C0D8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914" w:type="dxa"/>
          </w:tcPr>
          <w:p w:rsidR="001C0D8F" w:rsidRPr="001C0D8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915" w:type="dxa"/>
          </w:tcPr>
          <w:p w:rsidR="001C0D8F" w:rsidRPr="001C0D8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</w:tr>
      <w:tr w:rsidR="001C0D8F" w:rsidRPr="0036269F" w:rsidTr="001C0D8F">
        <w:tc>
          <w:tcPr>
            <w:tcW w:w="2311" w:type="dxa"/>
          </w:tcPr>
          <w:p w:rsidR="001C0D8F" w:rsidRPr="0036269F" w:rsidRDefault="001C0D8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69F">
              <w:rPr>
                <w:rFonts w:ascii="Times New Roman" w:hAnsi="Times New Roman" w:cs="Times New Roman"/>
                <w:sz w:val="24"/>
                <w:szCs w:val="28"/>
              </w:rPr>
              <w:t>Количество саморегулируемых организаций, не соответствующих требованиям статьи 55.4 Градостроительного кодекса РФ</w:t>
            </w:r>
          </w:p>
        </w:tc>
        <w:tc>
          <w:tcPr>
            <w:tcW w:w="1914" w:type="dxa"/>
          </w:tcPr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D8F" w:rsidRPr="0036269F" w:rsidRDefault="0002273E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D8F" w:rsidRPr="0036269F" w:rsidRDefault="0002273E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D8F" w:rsidRPr="0036269F" w:rsidRDefault="0002273E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69F" w:rsidRPr="0036269F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D8F" w:rsidRPr="0036269F" w:rsidRDefault="0002273E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C0D8F" w:rsidRPr="0036269F" w:rsidRDefault="001C0D8F" w:rsidP="001C0D8F">
      <w:pPr>
        <w:pStyle w:val="a3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4B6859" w:rsidRDefault="0036269F" w:rsidP="0036269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269F">
        <w:rPr>
          <w:rFonts w:ascii="Times New Roman" w:hAnsi="Times New Roman" w:cs="Times New Roman"/>
          <w:b/>
          <w:sz w:val="24"/>
          <w:szCs w:val="28"/>
        </w:rPr>
        <w:t>Перечень должностных лиц, ответственных за организацию и проведение профилактических мероприятий</w:t>
      </w:r>
    </w:p>
    <w:p w:rsidR="00372B27" w:rsidRPr="0036269F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0061" w:type="dxa"/>
        <w:tblInd w:w="-459" w:type="dxa"/>
        <w:tblLook w:val="04A0" w:firstRow="1" w:lastRow="0" w:firstColumn="1" w:lastColumn="0" w:noHBand="0" w:noVBand="1"/>
      </w:tblPr>
      <w:tblGrid>
        <w:gridCol w:w="5030"/>
        <w:gridCol w:w="5031"/>
      </w:tblGrid>
      <w:tr w:rsidR="0036269F" w:rsidRPr="0036269F" w:rsidTr="00840EFA">
        <w:trPr>
          <w:trHeight w:val="299"/>
        </w:trPr>
        <w:tc>
          <w:tcPr>
            <w:tcW w:w="5030" w:type="dxa"/>
          </w:tcPr>
          <w:p w:rsidR="0036269F" w:rsidRPr="00F210FC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0FC">
              <w:rPr>
                <w:rFonts w:ascii="Times New Roman" w:hAnsi="Times New Roman" w:cs="Times New Roman"/>
                <w:b/>
                <w:sz w:val="24"/>
                <w:szCs w:val="28"/>
              </w:rPr>
              <w:t>Ф.И.О., должность</w:t>
            </w:r>
          </w:p>
        </w:tc>
        <w:tc>
          <w:tcPr>
            <w:tcW w:w="5031" w:type="dxa"/>
          </w:tcPr>
          <w:p w:rsidR="0036269F" w:rsidRPr="00F210FC" w:rsidRDefault="0036269F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0FC">
              <w:rPr>
                <w:rFonts w:ascii="Times New Roman" w:hAnsi="Times New Roman" w:cs="Times New Roman"/>
                <w:b/>
                <w:sz w:val="24"/>
                <w:szCs w:val="28"/>
              </w:rPr>
              <w:t>Телефон, электронная почта</w:t>
            </w:r>
          </w:p>
        </w:tc>
      </w:tr>
      <w:tr w:rsidR="0036269F" w:rsidRPr="00840EFA" w:rsidTr="00840EFA">
        <w:trPr>
          <w:trHeight w:val="613"/>
        </w:trPr>
        <w:tc>
          <w:tcPr>
            <w:tcW w:w="5030" w:type="dxa"/>
          </w:tcPr>
          <w:p w:rsidR="0036269F" w:rsidRPr="00840EFA" w:rsidRDefault="007A5020" w:rsidP="007A5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Лебедев Илья Сергеевич</w:t>
            </w:r>
            <w:r w:rsidR="0036269F" w:rsidRPr="00840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36269F" w:rsidRPr="00840EFA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031" w:type="dxa"/>
          </w:tcPr>
          <w:p w:rsidR="0036269F" w:rsidRPr="00840EFA" w:rsidRDefault="007A5020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8(8739</w:t>
            </w:r>
            <w:r w:rsidR="0036269F" w:rsidRPr="00840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34-65-65</w:t>
            </w:r>
          </w:p>
          <w:p w:rsidR="0036269F" w:rsidRPr="00840EFA" w:rsidRDefault="00CA1EE7" w:rsidP="0036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A5020"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7A5020" w:rsidRPr="0084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A5020"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gsn</w:t>
            </w:r>
            <w:proofErr w:type="spellEnd"/>
            <w:r w:rsidR="0036269F" w:rsidRPr="00840E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A5020"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</w:t>
            </w:r>
            <w:proofErr w:type="spellEnd"/>
            <w:r w:rsidR="007A5020" w:rsidRPr="0084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6269F"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gosnadzor</w:t>
            </w:r>
            <w:proofErr w:type="spellEnd"/>
            <w:r w:rsidR="0036269F" w:rsidRPr="0084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6269F"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EE7" w:rsidRPr="00840EFA" w:rsidTr="00840EFA">
        <w:trPr>
          <w:trHeight w:val="613"/>
        </w:trPr>
        <w:tc>
          <w:tcPr>
            <w:tcW w:w="5030" w:type="dxa"/>
          </w:tcPr>
          <w:p w:rsidR="00CA1EE7" w:rsidRPr="00840EFA" w:rsidRDefault="00CA1EE7" w:rsidP="007A5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Соловьева Ирина Евгеньевна</w:t>
            </w:r>
          </w:p>
        </w:tc>
        <w:tc>
          <w:tcPr>
            <w:tcW w:w="5031" w:type="dxa"/>
          </w:tcPr>
          <w:p w:rsidR="00CA1EE7" w:rsidRPr="00840EFA" w:rsidRDefault="00CA1EE7" w:rsidP="00CA1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8(8739) 34-65-65</w:t>
            </w:r>
          </w:p>
          <w:p w:rsidR="00CA1EE7" w:rsidRPr="00840EFA" w:rsidRDefault="00CA1EE7" w:rsidP="00CA1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gsn</w:t>
            </w:r>
            <w:proofErr w:type="spellEnd"/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</w:t>
            </w:r>
            <w:proofErr w:type="spellEnd"/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gosnadzor</w:t>
            </w:r>
            <w:proofErr w:type="spellEnd"/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0EFA" w:rsidRPr="00840EFA" w:rsidTr="00840EFA">
        <w:tc>
          <w:tcPr>
            <w:tcW w:w="5030" w:type="dxa"/>
          </w:tcPr>
          <w:p w:rsidR="00840EFA" w:rsidRPr="00840EFA" w:rsidRDefault="00840EFA" w:rsidP="00A72EAC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840EFA">
              <w:rPr>
                <w:color w:val="000000"/>
              </w:rPr>
              <w:t>Кинжибалов</w:t>
            </w:r>
            <w:proofErr w:type="spellEnd"/>
            <w:r w:rsidRPr="00840EFA">
              <w:rPr>
                <w:color w:val="000000"/>
              </w:rPr>
              <w:t xml:space="preserve"> Александр Александрович,</w:t>
            </w:r>
          </w:p>
          <w:p w:rsidR="00840EFA" w:rsidRPr="00840EFA" w:rsidRDefault="00840EFA" w:rsidP="00A72EAC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840EFA">
              <w:t>заместитель начальника отдела</w:t>
            </w:r>
          </w:p>
        </w:tc>
        <w:tc>
          <w:tcPr>
            <w:tcW w:w="5031" w:type="dxa"/>
          </w:tcPr>
          <w:p w:rsidR="00840EFA" w:rsidRPr="00840EFA" w:rsidRDefault="00840EFA" w:rsidP="00A72EA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840EFA">
              <w:rPr>
                <w:color w:val="000000"/>
              </w:rPr>
              <w:t>8 (8793) 34-65-65</w:t>
            </w:r>
            <w:r w:rsidRPr="00840EFA">
              <w:rPr>
                <w:color w:val="000000"/>
              </w:rPr>
              <w:br/>
              <w:t>ku-gsn@kav.gosnadzor.ru</w:t>
            </w:r>
          </w:p>
        </w:tc>
      </w:tr>
      <w:tr w:rsidR="00840EFA" w:rsidRPr="00840EFA" w:rsidTr="00840EFA">
        <w:tc>
          <w:tcPr>
            <w:tcW w:w="5030" w:type="dxa"/>
          </w:tcPr>
          <w:p w:rsidR="00840EFA" w:rsidRPr="00840EFA" w:rsidRDefault="00840EFA" w:rsidP="00A72E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Дмитрий Викторович,</w:t>
            </w:r>
          </w:p>
          <w:p w:rsidR="00840EFA" w:rsidRPr="00840EFA" w:rsidRDefault="00840EFA" w:rsidP="00A72EA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FA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5031" w:type="dxa"/>
          </w:tcPr>
          <w:p w:rsidR="00840EFA" w:rsidRPr="00840EFA" w:rsidRDefault="00840EFA" w:rsidP="00A72EAC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840EFA">
              <w:rPr>
                <w:color w:val="000000"/>
              </w:rPr>
              <w:t>8 (8793) 34-65-65</w:t>
            </w:r>
            <w:r w:rsidRPr="00840EFA">
              <w:rPr>
                <w:color w:val="000000"/>
              </w:rPr>
              <w:br/>
              <w:t>ku-gsn@kav.gosnadzor.ru</w:t>
            </w:r>
          </w:p>
        </w:tc>
      </w:tr>
    </w:tbl>
    <w:p w:rsidR="0036269F" w:rsidRPr="0036269F" w:rsidRDefault="0036269F" w:rsidP="0036269F">
      <w:pPr>
        <w:pStyle w:val="a3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4B6859" w:rsidRDefault="0036269F" w:rsidP="0036269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План мероприятий по профилактике нарушений обязательных </w:t>
      </w:r>
      <w:r w:rsidR="00372B2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требований н</w:t>
      </w:r>
      <w:r w:rsidR="00833994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202</w:t>
      </w:r>
      <w:r w:rsidR="006227F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372B27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1843"/>
        <w:gridCol w:w="2335"/>
      </w:tblGrid>
      <w:tr w:rsidR="00F210FC" w:rsidRPr="00177AD3" w:rsidTr="00A91364">
        <w:trPr>
          <w:trHeight w:val="247"/>
        </w:trPr>
        <w:tc>
          <w:tcPr>
            <w:tcW w:w="567" w:type="dxa"/>
            <w:vAlign w:val="center"/>
          </w:tcPr>
          <w:p w:rsidR="0036269F" w:rsidRPr="00177AD3" w:rsidRDefault="00A91364" w:rsidP="00A91364">
            <w:pPr>
              <w:tabs>
                <w:tab w:val="left" w:pos="351"/>
              </w:tabs>
              <w:ind w:left="-108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686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843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Поднадзорные субъекты</w:t>
            </w:r>
          </w:p>
        </w:tc>
        <w:tc>
          <w:tcPr>
            <w:tcW w:w="2335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210FC" w:rsidRPr="00177AD3" w:rsidTr="00A91364">
        <w:trPr>
          <w:trHeight w:val="258"/>
        </w:trPr>
        <w:tc>
          <w:tcPr>
            <w:tcW w:w="567" w:type="dxa"/>
            <w:vAlign w:val="center"/>
          </w:tcPr>
          <w:p w:rsidR="0036269F" w:rsidRPr="00177AD3" w:rsidRDefault="006227F7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</w:t>
            </w:r>
          </w:p>
        </w:tc>
        <w:tc>
          <w:tcPr>
            <w:tcW w:w="1984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3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35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210FC" w:rsidRPr="00177AD3" w:rsidTr="00A91364">
        <w:trPr>
          <w:trHeight w:val="258"/>
        </w:trPr>
        <w:tc>
          <w:tcPr>
            <w:tcW w:w="567" w:type="dxa"/>
            <w:vAlign w:val="center"/>
          </w:tcPr>
          <w:p w:rsidR="0036269F" w:rsidRPr="00177AD3" w:rsidRDefault="006227F7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размещенной на официальном сайте </w:t>
            </w:r>
            <w:r w:rsidR="00C05D96"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Кавказского управления 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Ростехнадзора информации</w:t>
            </w:r>
          </w:p>
        </w:tc>
        <w:tc>
          <w:tcPr>
            <w:tcW w:w="1984" w:type="dxa"/>
            <w:vAlign w:val="center"/>
          </w:tcPr>
          <w:p w:rsidR="0036269F" w:rsidRPr="00177AD3" w:rsidRDefault="00A91364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4-12 месяцы 2022 года</w:t>
            </w:r>
          </w:p>
        </w:tc>
        <w:tc>
          <w:tcPr>
            <w:tcW w:w="1843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35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210FC" w:rsidRPr="00177AD3" w:rsidTr="00A91364">
        <w:trPr>
          <w:trHeight w:val="270"/>
        </w:trPr>
        <w:tc>
          <w:tcPr>
            <w:tcW w:w="567" w:type="dxa"/>
            <w:vAlign w:val="center"/>
          </w:tcPr>
          <w:p w:rsidR="0036269F" w:rsidRPr="00177AD3" w:rsidRDefault="006227F7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A1EE7" w:rsidRPr="00177AD3">
              <w:rPr>
                <w:rFonts w:ascii="Times New Roman" w:hAnsi="Times New Roman" w:cs="Times New Roman"/>
                <w:sz w:val="24"/>
                <w:szCs w:val="24"/>
              </w:rPr>
              <w:t>совещаний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E7" w:rsidRPr="00177AD3">
              <w:rPr>
                <w:rFonts w:ascii="Times New Roman" w:hAnsi="Times New Roman" w:cs="Times New Roman"/>
                <w:sz w:val="24"/>
                <w:szCs w:val="24"/>
              </w:rPr>
              <w:t>с инспекторским составом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 сфере саморегулирования</w:t>
            </w:r>
          </w:p>
        </w:tc>
        <w:tc>
          <w:tcPr>
            <w:tcW w:w="1984" w:type="dxa"/>
            <w:vAlign w:val="center"/>
          </w:tcPr>
          <w:p w:rsidR="0036269F" w:rsidRPr="00177AD3" w:rsidRDefault="00A91364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4-12 месяцы 2022 года</w:t>
            </w:r>
          </w:p>
        </w:tc>
        <w:tc>
          <w:tcPr>
            <w:tcW w:w="1843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35" w:type="dxa"/>
            <w:vAlign w:val="center"/>
          </w:tcPr>
          <w:p w:rsidR="0036269F" w:rsidRPr="00177AD3" w:rsidRDefault="00F210FC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26BAC" w:rsidRPr="00177AD3" w:rsidTr="00A91364">
        <w:tc>
          <w:tcPr>
            <w:tcW w:w="567" w:type="dxa"/>
            <w:vAlign w:val="center"/>
          </w:tcPr>
          <w:p w:rsidR="00126BAC" w:rsidRPr="00177AD3" w:rsidRDefault="00177AD3" w:rsidP="00A9136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686" w:type="dxa"/>
            <w:vAlign w:val="center"/>
          </w:tcPr>
          <w:p w:rsidR="00126BAC" w:rsidRPr="00177AD3" w:rsidRDefault="00126BAC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информации к проводимым проведения публичным мероприятиям </w:t>
            </w:r>
          </w:p>
        </w:tc>
        <w:tc>
          <w:tcPr>
            <w:tcW w:w="1984" w:type="dxa"/>
            <w:vAlign w:val="center"/>
          </w:tcPr>
          <w:p w:rsidR="00126BAC" w:rsidRPr="00177AD3" w:rsidRDefault="00126BAC" w:rsidP="00A9136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4-12 месяцы 2022 года</w:t>
            </w:r>
          </w:p>
        </w:tc>
        <w:tc>
          <w:tcPr>
            <w:tcW w:w="1843" w:type="dxa"/>
            <w:vAlign w:val="center"/>
          </w:tcPr>
          <w:p w:rsidR="00126BAC" w:rsidRPr="00177AD3" w:rsidRDefault="00126BAC" w:rsidP="00A9136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Поднадзорные организации</w:t>
            </w:r>
          </w:p>
        </w:tc>
        <w:tc>
          <w:tcPr>
            <w:tcW w:w="2335" w:type="dxa"/>
            <w:vAlign w:val="center"/>
          </w:tcPr>
          <w:p w:rsidR="00126BAC" w:rsidRPr="00177AD3" w:rsidRDefault="00126BAC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подконтрольных организаций на публичных мероприятиях</w:t>
            </w:r>
          </w:p>
        </w:tc>
      </w:tr>
    </w:tbl>
    <w:p w:rsidR="00097F28" w:rsidRDefault="00097F28" w:rsidP="00097F2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6269F" w:rsidRDefault="00097F28" w:rsidP="00097F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Проект плана мероприятий по профилактике нарушений </w:t>
      </w:r>
      <w:r w:rsidR="00840EFA">
        <w:rPr>
          <w:rFonts w:ascii="Times New Roman" w:hAnsi="Times New Roman" w:cs="Times New Roman"/>
          <w:b/>
          <w:sz w:val="24"/>
        </w:rPr>
        <w:t>обязательных требований на 202</w:t>
      </w:r>
      <w:r w:rsidR="00A91364">
        <w:rPr>
          <w:rFonts w:ascii="Times New Roman" w:hAnsi="Times New Roman" w:cs="Times New Roman"/>
          <w:b/>
          <w:sz w:val="24"/>
        </w:rPr>
        <w:t>3</w:t>
      </w:r>
      <w:r w:rsidR="00840EFA">
        <w:rPr>
          <w:rFonts w:ascii="Times New Roman" w:hAnsi="Times New Roman" w:cs="Times New Roman"/>
          <w:b/>
          <w:sz w:val="24"/>
        </w:rPr>
        <w:t xml:space="preserve"> год</w:t>
      </w:r>
    </w:p>
    <w:p w:rsidR="00372B27" w:rsidRDefault="00372B27" w:rsidP="00372B2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2268"/>
        <w:gridCol w:w="2618"/>
      </w:tblGrid>
      <w:tr w:rsidR="00097F28" w:rsidRPr="00177AD3" w:rsidTr="00A91364">
        <w:trPr>
          <w:trHeight w:val="247"/>
        </w:trPr>
        <w:tc>
          <w:tcPr>
            <w:tcW w:w="709" w:type="dxa"/>
            <w:vAlign w:val="center"/>
          </w:tcPr>
          <w:p w:rsidR="00097F28" w:rsidRPr="00177AD3" w:rsidRDefault="00097F28" w:rsidP="00A91364">
            <w:pPr>
              <w:pStyle w:val="a3"/>
              <w:ind w:left="107" w:right="-250" w:hanging="4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Поднадзорные субъекты</w:t>
            </w:r>
          </w:p>
        </w:tc>
        <w:tc>
          <w:tcPr>
            <w:tcW w:w="261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97F28" w:rsidRPr="00177AD3" w:rsidTr="00A91364">
        <w:trPr>
          <w:trHeight w:val="258"/>
        </w:trPr>
        <w:tc>
          <w:tcPr>
            <w:tcW w:w="709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97F28" w:rsidRPr="00177AD3" w:rsidRDefault="00840EFA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Кавказского управления Ростехнадзора инфо</w:t>
            </w:r>
            <w:bookmarkStart w:id="0" w:name="_GoBack"/>
            <w:bookmarkEnd w:id="0"/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рмации о</w:t>
            </w:r>
            <w:r w:rsidR="00C05D96"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нарушениях, допущенных членами СРО</w:t>
            </w:r>
          </w:p>
        </w:tc>
        <w:tc>
          <w:tcPr>
            <w:tcW w:w="1843" w:type="dxa"/>
            <w:vAlign w:val="center"/>
          </w:tcPr>
          <w:p w:rsidR="00097F28" w:rsidRPr="00177AD3" w:rsidRDefault="00840EFA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364" w:rsidRPr="00177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61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97F28" w:rsidRPr="00177AD3" w:rsidTr="00A91364">
        <w:trPr>
          <w:trHeight w:val="258"/>
        </w:trPr>
        <w:tc>
          <w:tcPr>
            <w:tcW w:w="709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843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  <w:r w:rsidR="00A91364"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A91364" w:rsidRPr="0017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Саморегулируемые организации</w:t>
            </w:r>
          </w:p>
        </w:tc>
        <w:tc>
          <w:tcPr>
            <w:tcW w:w="261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 и персонала поднадзорных субъектов об обязательных требованиях</w:t>
            </w:r>
          </w:p>
        </w:tc>
      </w:tr>
      <w:tr w:rsidR="00097F28" w:rsidRPr="00177AD3" w:rsidTr="00A91364">
        <w:trPr>
          <w:trHeight w:val="258"/>
        </w:trPr>
        <w:tc>
          <w:tcPr>
            <w:tcW w:w="709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размещенной на официальном сайте </w:t>
            </w:r>
            <w:r w:rsidR="00C05D96"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Кавказского управления 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Ростехнадзора информации</w:t>
            </w:r>
          </w:p>
        </w:tc>
        <w:tc>
          <w:tcPr>
            <w:tcW w:w="1843" w:type="dxa"/>
            <w:vAlign w:val="center"/>
          </w:tcPr>
          <w:p w:rsidR="00097F28" w:rsidRPr="00177AD3" w:rsidRDefault="00840EFA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1364" w:rsidRPr="00177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61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97F28" w:rsidRPr="00177AD3" w:rsidTr="00A91364">
        <w:trPr>
          <w:trHeight w:val="270"/>
        </w:trPr>
        <w:tc>
          <w:tcPr>
            <w:tcW w:w="709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97F28" w:rsidRPr="00177AD3" w:rsidRDefault="00CA1EE7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инспекторским составом по вопросам в сфере саморегулирования</w:t>
            </w:r>
          </w:p>
        </w:tc>
        <w:tc>
          <w:tcPr>
            <w:tcW w:w="1843" w:type="dxa"/>
            <w:vAlign w:val="center"/>
          </w:tcPr>
          <w:p w:rsidR="00097F28" w:rsidRPr="00177AD3" w:rsidRDefault="00840EFA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618" w:type="dxa"/>
            <w:vAlign w:val="center"/>
          </w:tcPr>
          <w:p w:rsidR="00097F28" w:rsidRPr="00177AD3" w:rsidRDefault="00097F28" w:rsidP="00A91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D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26BAC" w:rsidRPr="00177AD3" w:rsidTr="00A91364">
        <w:trPr>
          <w:trHeight w:val="270"/>
        </w:trPr>
        <w:tc>
          <w:tcPr>
            <w:tcW w:w="709" w:type="dxa"/>
            <w:vAlign w:val="center"/>
          </w:tcPr>
          <w:p w:rsidR="00126BAC" w:rsidRPr="00177AD3" w:rsidRDefault="00177AD3" w:rsidP="00A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77" w:type="dxa"/>
            <w:vAlign w:val="center"/>
          </w:tcPr>
          <w:p w:rsidR="00126BAC" w:rsidRPr="00177AD3" w:rsidRDefault="00126BAC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информации к проводимым проведения публичным мероприятиям </w:t>
            </w:r>
          </w:p>
        </w:tc>
        <w:tc>
          <w:tcPr>
            <w:tcW w:w="1843" w:type="dxa"/>
            <w:vAlign w:val="center"/>
          </w:tcPr>
          <w:p w:rsidR="00126BAC" w:rsidRPr="00177AD3" w:rsidRDefault="00126BAC" w:rsidP="00A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2268" w:type="dxa"/>
            <w:vAlign w:val="center"/>
          </w:tcPr>
          <w:p w:rsidR="00126BAC" w:rsidRPr="00177AD3" w:rsidRDefault="00126BAC" w:rsidP="00A913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Поднадзорные организации</w:t>
            </w:r>
          </w:p>
        </w:tc>
        <w:tc>
          <w:tcPr>
            <w:tcW w:w="2618" w:type="dxa"/>
            <w:vAlign w:val="center"/>
          </w:tcPr>
          <w:p w:rsidR="00126BAC" w:rsidRPr="00177AD3" w:rsidRDefault="00126BAC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подконтрольных организаций на публичных мероприятиях</w:t>
            </w:r>
          </w:p>
        </w:tc>
      </w:tr>
    </w:tbl>
    <w:p w:rsidR="00097F28" w:rsidRPr="00097F28" w:rsidRDefault="00097F28" w:rsidP="00097F28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sectPr w:rsidR="00097F28" w:rsidRPr="00097F28" w:rsidSect="009B1B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2E3"/>
    <w:multiLevelType w:val="hybridMultilevel"/>
    <w:tmpl w:val="118C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9"/>
    <w:rsid w:val="0002273E"/>
    <w:rsid w:val="00097F28"/>
    <w:rsid w:val="00126BAC"/>
    <w:rsid w:val="00177AD3"/>
    <w:rsid w:val="001C0D8F"/>
    <w:rsid w:val="0036269F"/>
    <w:rsid w:val="00372B27"/>
    <w:rsid w:val="0046167D"/>
    <w:rsid w:val="004B6859"/>
    <w:rsid w:val="004F6DBA"/>
    <w:rsid w:val="006227F7"/>
    <w:rsid w:val="0074016E"/>
    <w:rsid w:val="00746F12"/>
    <w:rsid w:val="007A5020"/>
    <w:rsid w:val="00833994"/>
    <w:rsid w:val="00840EFA"/>
    <w:rsid w:val="009B1BE1"/>
    <w:rsid w:val="00A91364"/>
    <w:rsid w:val="00C05D96"/>
    <w:rsid w:val="00CA1EE7"/>
    <w:rsid w:val="00CB3B4D"/>
    <w:rsid w:val="00F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59"/>
    <w:pPr>
      <w:ind w:left="720"/>
      <w:contextualSpacing/>
    </w:pPr>
  </w:style>
  <w:style w:type="table" w:styleId="a4">
    <w:name w:val="Table Grid"/>
    <w:basedOn w:val="a1"/>
    <w:uiPriority w:val="59"/>
    <w:rsid w:val="001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4"/>
    <w:basedOn w:val="a1"/>
    <w:next w:val="a4"/>
    <w:uiPriority w:val="59"/>
    <w:rsid w:val="00840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59"/>
    <w:pPr>
      <w:ind w:left="720"/>
      <w:contextualSpacing/>
    </w:pPr>
  </w:style>
  <w:style w:type="table" w:styleId="a4">
    <w:name w:val="Table Grid"/>
    <w:basedOn w:val="a1"/>
    <w:uiPriority w:val="59"/>
    <w:rsid w:val="001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4"/>
    <w:basedOn w:val="a1"/>
    <w:next w:val="a4"/>
    <w:uiPriority w:val="59"/>
    <w:rsid w:val="00840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Татьяна</dc:creator>
  <cp:lastModifiedBy>Кинжибалов Александр Александрович</cp:lastModifiedBy>
  <cp:revision>7</cp:revision>
  <dcterms:created xsi:type="dcterms:W3CDTF">2022-01-17T15:50:00Z</dcterms:created>
  <dcterms:modified xsi:type="dcterms:W3CDTF">2022-04-19T14:06:00Z</dcterms:modified>
</cp:coreProperties>
</file>